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7343" w:rsidRDefault="00B67343" w:rsidP="007C1BCB">
      <w:pPr>
        <w:widowControl/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9C0C0C">
        <w:rPr>
          <w:rFonts w:ascii="黑体" w:eastAsia="黑体" w:hAnsi="黑体" w:hint="eastAsia"/>
          <w:bCs/>
          <w:sz w:val="32"/>
          <w:szCs w:val="32"/>
        </w:rPr>
        <w:t>附件</w:t>
      </w:r>
      <w:bookmarkStart w:id="0" w:name="_GoBack"/>
      <w:bookmarkEnd w:id="0"/>
    </w:p>
    <w:p w:rsidR="009752A5" w:rsidRPr="007C1BCB" w:rsidRDefault="009752A5" w:rsidP="007C1BCB">
      <w:pPr>
        <w:widowControl/>
        <w:spacing w:line="600" w:lineRule="exact"/>
        <w:jc w:val="left"/>
        <w:rPr>
          <w:rFonts w:ascii="黑体" w:eastAsia="黑体" w:hAnsi="黑体" w:hint="eastAsia"/>
          <w:bCs/>
          <w:sz w:val="32"/>
          <w:szCs w:val="32"/>
        </w:rPr>
      </w:pPr>
    </w:p>
    <w:p w:rsidR="00B67343" w:rsidRPr="007C1BCB" w:rsidRDefault="00B67343" w:rsidP="007C1BCB">
      <w:pPr>
        <w:pStyle w:val="2"/>
        <w:spacing w:before="0" w:after="0" w:line="600" w:lineRule="exact"/>
        <w:jc w:val="center"/>
        <w:rPr>
          <w:rFonts w:ascii="方正小标宋简体" w:eastAsia="方正小标宋简体" w:hAnsi="黑体"/>
          <w:b w:val="0"/>
          <w:bCs w:val="0"/>
          <w:sz w:val="44"/>
          <w:szCs w:val="44"/>
        </w:rPr>
      </w:pPr>
      <w:r w:rsidRPr="007C1BCB">
        <w:rPr>
          <w:rFonts w:ascii="方正小标宋简体" w:eastAsia="方正小标宋简体" w:hAnsi="黑体" w:hint="eastAsia"/>
          <w:b w:val="0"/>
          <w:bCs w:val="0"/>
          <w:sz w:val="44"/>
          <w:szCs w:val="44"/>
        </w:rPr>
        <w:t>能力考核各测项推荐分析方法</w:t>
      </w:r>
    </w:p>
    <w:p w:rsidR="00B67343" w:rsidRPr="007C1BCB" w:rsidRDefault="00B67343" w:rsidP="007C1BCB">
      <w:pPr>
        <w:spacing w:beforeLines="50" w:before="289" w:afterLines="50" w:after="289" w:line="600" w:lineRule="exact"/>
        <w:ind w:rightChars="40" w:right="84" w:firstLineChars="200" w:firstLine="640"/>
        <w:rPr>
          <w:rFonts w:eastAsia="仿宋_GB2312"/>
          <w:sz w:val="32"/>
          <w:szCs w:val="32"/>
        </w:rPr>
      </w:pPr>
      <w:r w:rsidRPr="007C1BCB">
        <w:rPr>
          <w:rFonts w:eastAsia="仿宋_GB2312" w:hint="eastAsia"/>
          <w:sz w:val="32"/>
          <w:szCs w:val="32"/>
        </w:rPr>
        <w:t>建议具备“优先采用方法”实验室检验</w:t>
      </w:r>
      <w:r w:rsidR="00BB5025">
        <w:rPr>
          <w:rFonts w:eastAsia="仿宋_GB2312" w:hint="eastAsia"/>
          <w:sz w:val="32"/>
          <w:szCs w:val="32"/>
        </w:rPr>
        <w:t>检</w:t>
      </w:r>
      <w:r w:rsidR="00BB5025" w:rsidRPr="007C1BCB">
        <w:rPr>
          <w:rFonts w:eastAsia="仿宋_GB2312" w:hint="eastAsia"/>
          <w:sz w:val="32"/>
          <w:szCs w:val="32"/>
        </w:rPr>
        <w:t>测</w:t>
      </w:r>
      <w:r w:rsidRPr="007C1BCB">
        <w:rPr>
          <w:rFonts w:eastAsia="仿宋_GB2312" w:hint="eastAsia"/>
          <w:sz w:val="32"/>
          <w:szCs w:val="32"/>
        </w:rPr>
        <w:t>资质的，优先采用下表中相应方法开展分析；不具备“优先采用方法”资质的，使用本单位通过资质认证的方法开展分析。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216"/>
        <w:gridCol w:w="3065"/>
        <w:gridCol w:w="2763"/>
        <w:gridCol w:w="1791"/>
      </w:tblGrid>
      <w:tr w:rsidR="00B67343" w:rsidRPr="00B71DD7" w:rsidTr="00C47A73">
        <w:trPr>
          <w:trHeight w:val="307"/>
        </w:trPr>
        <w:tc>
          <w:tcPr>
            <w:tcW w:w="510" w:type="pct"/>
            <w:shd w:val="clear" w:color="auto" w:fill="auto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0"/>
              </w:rPr>
            </w:pPr>
            <w:r w:rsidRPr="00B71DD7">
              <w:rPr>
                <w:rFonts w:ascii="仿宋_GB2312" w:eastAsia="仿宋_GB2312" w:hAnsi="仿宋" w:hint="eastAsia"/>
                <w:b/>
                <w:bCs/>
                <w:sz w:val="20"/>
              </w:rPr>
              <w:t>监测指标</w:t>
            </w:r>
          </w:p>
        </w:tc>
        <w:tc>
          <w:tcPr>
            <w:tcW w:w="1794" w:type="pct"/>
            <w:shd w:val="clear" w:color="auto" w:fill="auto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0"/>
              </w:rPr>
            </w:pPr>
            <w:r w:rsidRPr="00B71DD7">
              <w:rPr>
                <w:rFonts w:ascii="仿宋_GB2312" w:eastAsia="仿宋_GB2312" w:hAnsi="仿宋" w:hint="eastAsia"/>
                <w:b/>
                <w:bCs/>
                <w:sz w:val="20"/>
              </w:rPr>
              <w:t>分析方法</w:t>
            </w:r>
          </w:p>
        </w:tc>
        <w:tc>
          <w:tcPr>
            <w:tcW w:w="1623" w:type="pct"/>
            <w:shd w:val="clear" w:color="auto" w:fill="auto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0"/>
              </w:rPr>
            </w:pPr>
            <w:r w:rsidRPr="00B71DD7">
              <w:rPr>
                <w:rFonts w:ascii="仿宋_GB2312" w:eastAsia="仿宋_GB2312" w:hAnsi="仿宋" w:hint="eastAsia"/>
                <w:b/>
                <w:bCs/>
                <w:sz w:val="20"/>
              </w:rPr>
              <w:t>依据标准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0"/>
              </w:rPr>
            </w:pPr>
            <w:r w:rsidRPr="00B71DD7">
              <w:rPr>
                <w:rFonts w:ascii="仿宋_GB2312" w:eastAsia="仿宋_GB2312" w:hAnsi="仿宋" w:hint="eastAsia"/>
                <w:b/>
                <w:bCs/>
                <w:sz w:val="20"/>
              </w:rPr>
              <w:t>优先采用方法</w:t>
            </w: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 w:val="restart"/>
            <w:noWrap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活性磷酸盐</w:t>
            </w: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磷钼蓝分光光度法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17378.4-2007（39.1）</w:t>
            </w:r>
          </w:p>
        </w:tc>
        <w:tc>
          <w:tcPr>
            <w:tcW w:w="1073" w:type="pct"/>
            <w:vMerge w:val="restar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连续流动比色法</w:t>
            </w:r>
          </w:p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流动分析法</w:t>
            </w:r>
          </w:p>
        </w:tc>
      </w:tr>
      <w:tr w:rsidR="00B67343" w:rsidRPr="00B71DD7" w:rsidTr="00C47A73">
        <w:trPr>
          <w:trHeight w:val="269"/>
        </w:trPr>
        <w:tc>
          <w:tcPr>
            <w:tcW w:w="510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连续流动比色法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HJ 442.3-2020附录E</w:t>
            </w:r>
          </w:p>
        </w:tc>
        <w:tc>
          <w:tcPr>
            <w:tcW w:w="1073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流动分析法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HY/T 147.1-2013（10.1）</w:t>
            </w:r>
          </w:p>
        </w:tc>
        <w:tc>
          <w:tcPr>
            <w:tcW w:w="1073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 w:val="restart"/>
            <w:noWrap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亚硝酸盐氮</w:t>
            </w: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萘乙二胺分光光度法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17378.4-2007（37）</w:t>
            </w:r>
          </w:p>
        </w:tc>
        <w:tc>
          <w:tcPr>
            <w:tcW w:w="1073" w:type="pct"/>
            <w:vMerge w:val="restar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连续流动比色法</w:t>
            </w:r>
          </w:p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流动分析法</w:t>
            </w: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连续流动比色法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HJ 442.3-2020附录D</w:t>
            </w:r>
          </w:p>
        </w:tc>
        <w:tc>
          <w:tcPr>
            <w:tcW w:w="1073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流动分析法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HY/T 147.1-2013（7.1）</w:t>
            </w:r>
          </w:p>
        </w:tc>
        <w:tc>
          <w:tcPr>
            <w:tcW w:w="1073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 w:val="restar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硝酸盐氮</w:t>
            </w: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镉柱还原法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17378.4-2007（38.1）</w:t>
            </w:r>
          </w:p>
        </w:tc>
        <w:tc>
          <w:tcPr>
            <w:tcW w:w="1073" w:type="pct"/>
            <w:vMerge w:val="restar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连续流动比色法</w:t>
            </w:r>
          </w:p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流动分析法</w:t>
            </w: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连续流动比色法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HJ 442.3-2020附录D</w:t>
            </w:r>
          </w:p>
        </w:tc>
        <w:tc>
          <w:tcPr>
            <w:tcW w:w="1073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355"/>
        </w:trPr>
        <w:tc>
          <w:tcPr>
            <w:tcW w:w="510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流动分析法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HY/T 147.1-2013（8.1）</w:t>
            </w:r>
          </w:p>
        </w:tc>
        <w:tc>
          <w:tcPr>
            <w:tcW w:w="1073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 w:val="restar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氨氮</w:t>
            </w: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次溴酸盐氧化法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17378.4-2007（36.2）</w:t>
            </w:r>
          </w:p>
        </w:tc>
        <w:tc>
          <w:tcPr>
            <w:tcW w:w="1073" w:type="pct"/>
            <w:vMerge w:val="restar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连续流动比色法</w:t>
            </w:r>
          </w:p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流动分析法</w:t>
            </w: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靛酚蓝分光光度法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17378.4-2007（36.1）</w:t>
            </w:r>
          </w:p>
        </w:tc>
        <w:tc>
          <w:tcPr>
            <w:tcW w:w="1073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连续流动比色法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HJ 442.3-2020附录C</w:t>
            </w:r>
          </w:p>
        </w:tc>
        <w:tc>
          <w:tcPr>
            <w:tcW w:w="1073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流动分析法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HY/T 147.1-2013（9.1）</w:t>
            </w:r>
          </w:p>
        </w:tc>
        <w:tc>
          <w:tcPr>
            <w:tcW w:w="1073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64"/>
        </w:trPr>
        <w:tc>
          <w:tcPr>
            <w:tcW w:w="510" w:type="pct"/>
            <w:vMerge w:val="restart"/>
            <w:noWrap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汞</w:t>
            </w:r>
          </w:p>
        </w:tc>
        <w:tc>
          <w:tcPr>
            <w:tcW w:w="1794" w:type="pct"/>
            <w:vAlign w:val="center"/>
            <w:hideMark/>
          </w:tcPr>
          <w:p w:rsidR="00B67343" w:rsidRPr="00B71DD7" w:rsidRDefault="00B67343" w:rsidP="00C47A73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原子荧光法</w:t>
            </w:r>
          </w:p>
        </w:tc>
        <w:tc>
          <w:tcPr>
            <w:tcW w:w="1623" w:type="pc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17378.4-2007（5.1）</w:t>
            </w:r>
          </w:p>
        </w:tc>
        <w:tc>
          <w:tcPr>
            <w:tcW w:w="1073" w:type="pct"/>
            <w:vMerge w:val="restar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—</w:t>
            </w:r>
          </w:p>
        </w:tc>
      </w:tr>
      <w:tr w:rsidR="00B67343" w:rsidRPr="00B71DD7" w:rsidTr="007C1BCB">
        <w:trPr>
          <w:trHeight w:val="266"/>
        </w:trPr>
        <w:tc>
          <w:tcPr>
            <w:tcW w:w="510" w:type="pct"/>
            <w:vMerge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原子荧光法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HJ 694-2014</w:t>
            </w:r>
          </w:p>
        </w:tc>
        <w:tc>
          <w:tcPr>
            <w:tcW w:w="1073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 w:val="restart"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镉</w:t>
            </w: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电感耦合等离子体质谱法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HY/T 147.1-2013（5）</w:t>
            </w:r>
          </w:p>
        </w:tc>
        <w:tc>
          <w:tcPr>
            <w:tcW w:w="1073" w:type="pct"/>
            <w:vMerge w:val="restar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电感耦合等离子体质谱法</w:t>
            </w: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无火焰原子吸收分光光度法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17378.4-2007（8.1）</w:t>
            </w:r>
          </w:p>
        </w:tc>
        <w:tc>
          <w:tcPr>
            <w:tcW w:w="1073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火焰原子吸收分光光度法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17378.4-2007（8.3）</w:t>
            </w:r>
          </w:p>
        </w:tc>
        <w:tc>
          <w:tcPr>
            <w:tcW w:w="1073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 w:val="restart"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铅</w:t>
            </w: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电感耦合等离子体质谱法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HY/T 147.1-2013（5）</w:t>
            </w:r>
          </w:p>
        </w:tc>
        <w:tc>
          <w:tcPr>
            <w:tcW w:w="1073" w:type="pct"/>
            <w:vMerge w:val="restar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电感耦合等离子体质谱法</w:t>
            </w: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无火焰原子吸收分光光度法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17378.4-2007（7.1）</w:t>
            </w:r>
          </w:p>
        </w:tc>
        <w:tc>
          <w:tcPr>
            <w:tcW w:w="1073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火焰原子吸收分光光度法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17378.4-2007（7.3）</w:t>
            </w:r>
          </w:p>
        </w:tc>
        <w:tc>
          <w:tcPr>
            <w:tcW w:w="1073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 w:val="restart"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铜</w:t>
            </w: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电感耦合等离子体质谱法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HY/T 147.1-2013（5）</w:t>
            </w:r>
          </w:p>
        </w:tc>
        <w:tc>
          <w:tcPr>
            <w:tcW w:w="1073" w:type="pct"/>
            <w:vMerge w:val="restar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电感耦合等离子体质谱法</w:t>
            </w: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无火焰原子吸收分光光度法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17378.4-2007（6.1）</w:t>
            </w:r>
          </w:p>
        </w:tc>
        <w:tc>
          <w:tcPr>
            <w:tcW w:w="1073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noWrap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火焰原子吸收分光光度法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17378.4-2007（6.3）</w:t>
            </w:r>
          </w:p>
        </w:tc>
        <w:tc>
          <w:tcPr>
            <w:tcW w:w="1073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 w:val="restart"/>
            <w:noWrap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锌</w:t>
            </w: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电感耦合等离子体质谱法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HY/T 147.1-2013（5）</w:t>
            </w:r>
          </w:p>
        </w:tc>
        <w:tc>
          <w:tcPr>
            <w:tcW w:w="1073" w:type="pct"/>
            <w:vMerge w:val="restart"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电感耦合等离子体质谱法</w:t>
            </w: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火焰原子吸收分光光度法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17378.4-2007（9.1）</w:t>
            </w:r>
          </w:p>
        </w:tc>
        <w:tc>
          <w:tcPr>
            <w:tcW w:w="1073" w:type="pct"/>
            <w:vMerge/>
            <w:vAlign w:val="center"/>
            <w:hideMark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 w:val="restar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浮游生物</w:t>
            </w:r>
          </w:p>
        </w:tc>
        <w:tc>
          <w:tcPr>
            <w:tcW w:w="1794" w:type="pct"/>
            <w:vMerge w:val="restar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计数法</w:t>
            </w: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 17378.7-2007（5）</w:t>
            </w:r>
          </w:p>
        </w:tc>
        <w:tc>
          <w:tcPr>
            <w:tcW w:w="1073" w:type="pct"/>
            <w:vMerge w:val="restar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—</w:t>
            </w:r>
          </w:p>
        </w:tc>
      </w:tr>
      <w:tr w:rsidR="00B67343" w:rsidRPr="00B71DD7" w:rsidTr="00C47A73">
        <w:trPr>
          <w:trHeight w:val="295"/>
        </w:trPr>
        <w:tc>
          <w:tcPr>
            <w:tcW w:w="510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794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  <w:tc>
          <w:tcPr>
            <w:tcW w:w="1623" w:type="pct"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  <w:r w:rsidRPr="00B71DD7">
              <w:rPr>
                <w:rFonts w:ascii="仿宋_GB2312" w:eastAsia="仿宋_GB2312" w:hAnsi="仿宋" w:hint="eastAsia"/>
                <w:sz w:val="20"/>
              </w:rPr>
              <w:t>GB/T 12763.6-2007（8）</w:t>
            </w:r>
          </w:p>
        </w:tc>
        <w:tc>
          <w:tcPr>
            <w:tcW w:w="1073" w:type="pct"/>
            <w:vMerge/>
            <w:vAlign w:val="center"/>
          </w:tcPr>
          <w:p w:rsidR="00B67343" w:rsidRPr="00B71DD7" w:rsidRDefault="00B67343" w:rsidP="00C47A73">
            <w:pPr>
              <w:widowControl/>
              <w:jc w:val="center"/>
              <w:rPr>
                <w:rFonts w:ascii="仿宋_GB2312" w:eastAsia="仿宋_GB2312" w:hAnsi="仿宋"/>
                <w:sz w:val="20"/>
              </w:rPr>
            </w:pPr>
          </w:p>
        </w:tc>
      </w:tr>
    </w:tbl>
    <w:p w:rsidR="007764FA" w:rsidRPr="00B67343" w:rsidRDefault="007764FA" w:rsidP="009752A5"/>
    <w:sectPr w:rsidR="007764FA" w:rsidRPr="00B67343" w:rsidSect="00B67343">
      <w:headerReference w:type="default" r:id="rId8"/>
      <w:footerReference w:type="even" r:id="rId9"/>
      <w:footerReference w:type="default" r:id="rId10"/>
      <w:pgSz w:w="11907" w:h="16840" w:code="9"/>
      <w:pgMar w:top="1701" w:right="1531" w:bottom="1701" w:left="1531" w:header="851" w:footer="1077" w:gutter="0"/>
      <w:pgNumType w:start="1" w:chapStyle="1"/>
      <w:cols w:space="720"/>
      <w:titlePg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87" w:rsidRDefault="00C43E87">
      <w:r>
        <w:separator/>
      </w:r>
    </w:p>
  </w:endnote>
  <w:endnote w:type="continuationSeparator" w:id="0">
    <w:p w:rsidR="00C43E87" w:rsidRDefault="00C4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57" w:rsidRDefault="007C1BCB" w:rsidP="007C1BCB">
    <w:pPr>
      <w:pStyle w:val="ad"/>
      <w:ind w:left="500"/>
    </w:pPr>
    <w:r>
      <w:rPr>
        <w:rFonts w:ascii="宋体" w:hAnsi="宋体"/>
        <w:sz w:val="28"/>
        <w:szCs w:val="28"/>
      </w:rPr>
      <w:t xml:space="preserve">— </w:t>
    </w:r>
    <w:r w:rsidR="00B67343" w:rsidRPr="00B67343">
      <w:rPr>
        <w:rFonts w:ascii="宋体" w:hAnsi="宋体"/>
        <w:sz w:val="28"/>
        <w:szCs w:val="28"/>
      </w:rPr>
      <w:fldChar w:fldCharType="begin"/>
    </w:r>
    <w:r w:rsidR="00B67343" w:rsidRPr="00B67343">
      <w:rPr>
        <w:rFonts w:ascii="宋体" w:hAnsi="宋体"/>
        <w:sz w:val="28"/>
        <w:szCs w:val="28"/>
      </w:rPr>
      <w:instrText>PAGE   \* MERGEFORMAT</w:instrText>
    </w:r>
    <w:r w:rsidR="00B67343" w:rsidRPr="00B67343">
      <w:rPr>
        <w:rFonts w:ascii="宋体" w:hAnsi="宋体"/>
        <w:sz w:val="28"/>
        <w:szCs w:val="28"/>
      </w:rPr>
      <w:fldChar w:fldCharType="separate"/>
    </w:r>
    <w:r w:rsidR="009752A5" w:rsidRPr="009752A5">
      <w:rPr>
        <w:rFonts w:ascii="宋体" w:hAnsi="宋体"/>
        <w:noProof/>
        <w:sz w:val="28"/>
        <w:szCs w:val="28"/>
        <w:lang w:val="zh-CN"/>
      </w:rPr>
      <w:t>2</w:t>
    </w:r>
    <w:r w:rsidR="00B67343" w:rsidRPr="00B67343">
      <w:rPr>
        <w:rFonts w:ascii="宋体" w:hAnsi="宋体"/>
        <w:sz w:val="28"/>
        <w:szCs w:val="28"/>
      </w:rPr>
      <w:fldChar w:fldCharType="end"/>
    </w:r>
    <w:r w:rsidR="00B67343">
      <w:rPr>
        <w:rFonts w:ascii="宋体" w:hAnsi="宋体"/>
        <w:sz w:val="28"/>
        <w:szCs w:val="28"/>
      </w:rPr>
      <w:t xml:space="preserve"> </w:t>
    </w:r>
    <w:r w:rsidR="00C14E57" w:rsidRPr="007764FA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43" w:rsidRDefault="007C1BCB" w:rsidP="007C1BCB">
    <w:pPr>
      <w:pStyle w:val="ad"/>
      <w:ind w:left="500" w:right="420"/>
      <w:jc w:val="right"/>
    </w:pPr>
    <w:r>
      <w:rPr>
        <w:rFonts w:ascii="宋体" w:hAnsi="宋体"/>
        <w:sz w:val="28"/>
        <w:szCs w:val="28"/>
      </w:rPr>
      <w:t>—</w:t>
    </w:r>
    <w:r w:rsidR="00B67343">
      <w:rPr>
        <w:rFonts w:ascii="宋体" w:hAnsi="宋体"/>
        <w:sz w:val="28"/>
        <w:szCs w:val="28"/>
      </w:rPr>
      <w:t xml:space="preserve"> </w:t>
    </w:r>
    <w:r w:rsidR="00B67343" w:rsidRPr="00B67343">
      <w:rPr>
        <w:rFonts w:ascii="宋体" w:hAnsi="宋体"/>
        <w:sz w:val="28"/>
        <w:szCs w:val="28"/>
      </w:rPr>
      <w:fldChar w:fldCharType="begin"/>
    </w:r>
    <w:r w:rsidR="00B67343" w:rsidRPr="00B67343">
      <w:rPr>
        <w:rFonts w:ascii="宋体" w:hAnsi="宋体"/>
        <w:sz w:val="28"/>
        <w:szCs w:val="28"/>
      </w:rPr>
      <w:instrText>PAGE   \* MERGEFORMAT</w:instrText>
    </w:r>
    <w:r w:rsidR="00B67343" w:rsidRPr="00B67343">
      <w:rPr>
        <w:rFonts w:ascii="宋体" w:hAnsi="宋体"/>
        <w:sz w:val="28"/>
        <w:szCs w:val="28"/>
      </w:rPr>
      <w:fldChar w:fldCharType="separate"/>
    </w:r>
    <w:r w:rsidR="009752A5" w:rsidRPr="009752A5">
      <w:rPr>
        <w:rFonts w:ascii="宋体" w:hAnsi="宋体"/>
        <w:noProof/>
        <w:sz w:val="28"/>
        <w:szCs w:val="28"/>
        <w:lang w:val="zh-CN"/>
      </w:rPr>
      <w:t>3</w:t>
    </w:r>
    <w:r w:rsidR="00B67343" w:rsidRPr="00B67343">
      <w:rPr>
        <w:rFonts w:ascii="宋体" w:hAnsi="宋体"/>
        <w:sz w:val="28"/>
        <w:szCs w:val="28"/>
      </w:rPr>
      <w:fldChar w:fldCharType="end"/>
    </w:r>
    <w:r w:rsidR="00B67343">
      <w:rPr>
        <w:rFonts w:ascii="宋体" w:hAnsi="宋体"/>
        <w:sz w:val="28"/>
        <w:szCs w:val="28"/>
      </w:rPr>
      <w:t xml:space="preserve"> </w:t>
    </w:r>
    <w:r w:rsidR="00B67343" w:rsidRPr="007764FA">
      <w:rPr>
        <w:rFonts w:ascii="宋体" w:hAnsi="宋体"/>
        <w:sz w:val="28"/>
        <w:szCs w:val="28"/>
      </w:rPr>
      <w:t>—</w:t>
    </w:r>
  </w:p>
  <w:p w:rsidR="004A06DC" w:rsidRPr="00484FB7" w:rsidRDefault="004A06DC" w:rsidP="00484F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87" w:rsidRDefault="00C43E87">
      <w:r>
        <w:separator/>
      </w:r>
    </w:p>
  </w:footnote>
  <w:footnote w:type="continuationSeparator" w:id="0">
    <w:p w:rsidR="00C43E87" w:rsidRDefault="00C4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43" w:rsidRDefault="00B67343" w:rsidP="007C1BCB">
    <w:pPr>
      <w:pStyle w:val="a9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4CF"/>
    <w:multiLevelType w:val="hybridMultilevel"/>
    <w:tmpl w:val="A3A0C6C8"/>
    <w:lvl w:ilvl="0" w:tplc="85326B0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AE40702"/>
    <w:multiLevelType w:val="hybridMultilevel"/>
    <w:tmpl w:val="59580AA8"/>
    <w:lvl w:ilvl="0" w:tplc="6870269A">
      <w:start w:val="1"/>
      <w:numFmt w:val="bullet"/>
      <w:lvlText w:val="—"/>
      <w:lvlJc w:val="left"/>
      <w:pPr>
        <w:ind w:left="50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6D7E5227"/>
    <w:multiLevelType w:val="hybridMultilevel"/>
    <w:tmpl w:val="1C5AF0C6"/>
    <w:lvl w:ilvl="0" w:tplc="5762B19C">
      <w:start w:val="1"/>
      <w:numFmt w:val="bullet"/>
      <w:lvlText w:val="—"/>
      <w:lvlJc w:val="left"/>
      <w:pPr>
        <w:ind w:left="50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3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FD1"/>
    <w:rsid w:val="000560E3"/>
    <w:rsid w:val="000A3A21"/>
    <w:rsid w:val="000C6901"/>
    <w:rsid w:val="00126748"/>
    <w:rsid w:val="00132402"/>
    <w:rsid w:val="00155187"/>
    <w:rsid w:val="001618F1"/>
    <w:rsid w:val="00172A27"/>
    <w:rsid w:val="001F3429"/>
    <w:rsid w:val="001F7488"/>
    <w:rsid w:val="002106C6"/>
    <w:rsid w:val="0022156F"/>
    <w:rsid w:val="00242FA4"/>
    <w:rsid w:val="00251A76"/>
    <w:rsid w:val="002B6A70"/>
    <w:rsid w:val="002D2A69"/>
    <w:rsid w:val="002E64C0"/>
    <w:rsid w:val="002F7985"/>
    <w:rsid w:val="00326314"/>
    <w:rsid w:val="00337FB4"/>
    <w:rsid w:val="003475B4"/>
    <w:rsid w:val="0036109D"/>
    <w:rsid w:val="00366E11"/>
    <w:rsid w:val="003B1697"/>
    <w:rsid w:val="003B66A4"/>
    <w:rsid w:val="003C6FA0"/>
    <w:rsid w:val="003F07F1"/>
    <w:rsid w:val="00431DA7"/>
    <w:rsid w:val="00433E47"/>
    <w:rsid w:val="0044735E"/>
    <w:rsid w:val="00484FB7"/>
    <w:rsid w:val="004A06DC"/>
    <w:rsid w:val="004A456C"/>
    <w:rsid w:val="004B0935"/>
    <w:rsid w:val="00505EA7"/>
    <w:rsid w:val="00510087"/>
    <w:rsid w:val="00535385"/>
    <w:rsid w:val="005A28F4"/>
    <w:rsid w:val="005F7675"/>
    <w:rsid w:val="00656F70"/>
    <w:rsid w:val="00672275"/>
    <w:rsid w:val="006769E0"/>
    <w:rsid w:val="006910C6"/>
    <w:rsid w:val="006F31D8"/>
    <w:rsid w:val="00733CA4"/>
    <w:rsid w:val="0074675F"/>
    <w:rsid w:val="00747A33"/>
    <w:rsid w:val="00760DE6"/>
    <w:rsid w:val="007764FA"/>
    <w:rsid w:val="007870EA"/>
    <w:rsid w:val="007C1BCB"/>
    <w:rsid w:val="007C430C"/>
    <w:rsid w:val="007D4625"/>
    <w:rsid w:val="007F2918"/>
    <w:rsid w:val="00834AD8"/>
    <w:rsid w:val="00892D65"/>
    <w:rsid w:val="00906AFF"/>
    <w:rsid w:val="00913682"/>
    <w:rsid w:val="009514BE"/>
    <w:rsid w:val="009522F5"/>
    <w:rsid w:val="009607DC"/>
    <w:rsid w:val="009752A5"/>
    <w:rsid w:val="00983471"/>
    <w:rsid w:val="0099258D"/>
    <w:rsid w:val="009B2CF5"/>
    <w:rsid w:val="00A24F37"/>
    <w:rsid w:val="00A50266"/>
    <w:rsid w:val="00A82453"/>
    <w:rsid w:val="00A95BD6"/>
    <w:rsid w:val="00A95E2B"/>
    <w:rsid w:val="00AA27D3"/>
    <w:rsid w:val="00AB0E78"/>
    <w:rsid w:val="00B03753"/>
    <w:rsid w:val="00B340ED"/>
    <w:rsid w:val="00B4551A"/>
    <w:rsid w:val="00B67343"/>
    <w:rsid w:val="00BA7599"/>
    <w:rsid w:val="00BB5025"/>
    <w:rsid w:val="00BF03BE"/>
    <w:rsid w:val="00C04C0F"/>
    <w:rsid w:val="00C14E57"/>
    <w:rsid w:val="00C215FF"/>
    <w:rsid w:val="00C32B81"/>
    <w:rsid w:val="00C43E87"/>
    <w:rsid w:val="00CF3A0F"/>
    <w:rsid w:val="00D504B7"/>
    <w:rsid w:val="00D509B3"/>
    <w:rsid w:val="00D514A7"/>
    <w:rsid w:val="00DA690A"/>
    <w:rsid w:val="00DE0C40"/>
    <w:rsid w:val="00DE5305"/>
    <w:rsid w:val="00E21128"/>
    <w:rsid w:val="00E927D8"/>
    <w:rsid w:val="00EA26B7"/>
    <w:rsid w:val="00EE2EAD"/>
    <w:rsid w:val="00F432E2"/>
    <w:rsid w:val="00F43F2F"/>
    <w:rsid w:val="00F57357"/>
    <w:rsid w:val="00F70E4D"/>
    <w:rsid w:val="00F7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08905"/>
  <w15:chartTrackingRefBased/>
  <w15:docId w15:val="{507E97EE-57ED-4C82-BF9F-F15E185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eastAsia="仿宋_GB2312" w:hAnsi="Arial Black"/>
      <w:b/>
      <w:bCs/>
      <w:sz w:val="28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70E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a5">
    <w:name w:val="日期 字符"/>
    <w:link w:val="a6"/>
    <w:rPr>
      <w:rFonts w:eastAsia="仿宋_GB2312"/>
      <w:kern w:val="2"/>
      <w:sz w:val="32"/>
    </w:rPr>
  </w:style>
  <w:style w:type="character" w:customStyle="1" w:styleId="31">
    <w:name w:val="正文文本缩进 3 字符"/>
    <w:link w:val="32"/>
    <w:rPr>
      <w:kern w:val="2"/>
      <w:sz w:val="28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32">
    <w:name w:val="Body Text Indent 3"/>
    <w:basedOn w:val="a"/>
    <w:link w:val="31"/>
    <w:pPr>
      <w:ind w:firstLineChars="203" w:firstLine="568"/>
    </w:pPr>
    <w:rPr>
      <w:sz w:val="28"/>
      <w:lang w:val="x-none" w:eastAsia="x-none"/>
    </w:rPr>
  </w:style>
  <w:style w:type="paragraph" w:styleId="a8">
    <w:name w:val="Body Text Indent"/>
    <w:basedOn w:val="a"/>
    <w:pPr>
      <w:spacing w:line="480" w:lineRule="auto"/>
      <w:ind w:firstLineChars="200" w:firstLine="560"/>
    </w:pPr>
    <w:rPr>
      <w:sz w:val="28"/>
      <w:szCs w:val="24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"/>
    <w:basedOn w:val="a"/>
    <w:pPr>
      <w:jc w:val="center"/>
    </w:pPr>
    <w:rPr>
      <w:rFonts w:eastAsia="黑体"/>
      <w:sz w:val="36"/>
    </w:rPr>
  </w:style>
  <w:style w:type="paragraph" w:styleId="ac">
    <w:name w:val="Normal Indent"/>
    <w:basedOn w:val="a"/>
    <w:pPr>
      <w:ind w:firstLine="420"/>
    </w:pPr>
  </w:style>
  <w:style w:type="paragraph" w:styleId="a6">
    <w:name w:val="Date"/>
    <w:basedOn w:val="a"/>
    <w:next w:val="a"/>
    <w:link w:val="a5"/>
    <w:rPr>
      <w:rFonts w:eastAsia="仿宋_GB2312"/>
      <w:sz w:val="32"/>
      <w:lang w:val="x-none" w:eastAsia="x-none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Balloon Text"/>
    <w:basedOn w:val="a"/>
    <w:rPr>
      <w:sz w:val="18"/>
      <w:szCs w:val="1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21">
    <w:name w:val="Body Text Indent 2"/>
    <w:basedOn w:val="a"/>
    <w:pPr>
      <w:ind w:firstLineChars="200" w:firstLine="552"/>
    </w:pPr>
    <w:rPr>
      <w:rFonts w:ascii="宋体" w:hAnsi="宋体"/>
      <w:sz w:val="28"/>
    </w:rPr>
  </w:style>
  <w:style w:type="paragraph" w:customStyle="1" w:styleId="10">
    <w:name w:val="样式1"/>
    <w:basedOn w:val="a"/>
    <w:link w:val="11"/>
    <w:qFormat/>
    <w:rsid w:val="003F07F1"/>
    <w:rPr>
      <w:b/>
      <w:color w:val="FF0000"/>
      <w:spacing w:val="100"/>
      <w:w w:val="75"/>
      <w:kern w:val="0"/>
      <w:sz w:val="84"/>
      <w:szCs w:val="84"/>
    </w:rPr>
  </w:style>
  <w:style w:type="paragraph" w:customStyle="1" w:styleId="22">
    <w:name w:val="样式2"/>
    <w:basedOn w:val="10"/>
    <w:link w:val="23"/>
    <w:qFormat/>
    <w:rsid w:val="00DE5305"/>
    <w:pPr>
      <w:pBdr>
        <w:bottom w:val="thinThickSmallGap" w:sz="24" w:space="1" w:color="FF0000"/>
      </w:pBdr>
    </w:pPr>
  </w:style>
  <w:style w:type="character" w:customStyle="1" w:styleId="11">
    <w:name w:val="样式1 字符"/>
    <w:link w:val="10"/>
    <w:rsid w:val="003F07F1"/>
    <w:rPr>
      <w:b/>
      <w:color w:val="FF0000"/>
      <w:spacing w:val="100"/>
      <w:w w:val="75"/>
      <w:sz w:val="84"/>
      <w:szCs w:val="84"/>
    </w:rPr>
  </w:style>
  <w:style w:type="character" w:customStyle="1" w:styleId="30">
    <w:name w:val="标题 3 字符"/>
    <w:link w:val="3"/>
    <w:semiHidden/>
    <w:rsid w:val="00F70E4D"/>
    <w:rPr>
      <w:b/>
      <w:bCs/>
      <w:kern w:val="2"/>
      <w:sz w:val="32"/>
      <w:szCs w:val="32"/>
    </w:rPr>
  </w:style>
  <w:style w:type="character" w:customStyle="1" w:styleId="23">
    <w:name w:val="样式2 字符"/>
    <w:basedOn w:val="11"/>
    <w:link w:val="22"/>
    <w:rsid w:val="00DE5305"/>
    <w:rPr>
      <w:b/>
      <w:color w:val="FF0000"/>
      <w:spacing w:val="100"/>
      <w:w w:val="75"/>
      <w:sz w:val="84"/>
      <w:szCs w:val="84"/>
    </w:rPr>
  </w:style>
  <w:style w:type="paragraph" w:customStyle="1" w:styleId="33">
    <w:name w:val="样式3"/>
    <w:basedOn w:val="ad"/>
    <w:link w:val="34"/>
    <w:qFormat/>
    <w:rsid w:val="0036109D"/>
  </w:style>
  <w:style w:type="paragraph" w:customStyle="1" w:styleId="4">
    <w:name w:val="样式4"/>
    <w:basedOn w:val="a"/>
    <w:link w:val="40"/>
    <w:qFormat/>
    <w:rsid w:val="0036109D"/>
    <w:pPr>
      <w:pBdr>
        <w:bottom w:val="thickThinSmallGap" w:sz="24" w:space="1" w:color="FF0000"/>
      </w:pBdr>
      <w:snapToGrid w:val="0"/>
      <w:ind w:rightChars="20" w:right="42"/>
    </w:pPr>
    <w:rPr>
      <w:rFonts w:ascii="仿宋" w:eastAsia="仿宋" w:hAnsi="仿宋"/>
      <w:sz w:val="30"/>
      <w:szCs w:val="30"/>
    </w:rPr>
  </w:style>
  <w:style w:type="character" w:customStyle="1" w:styleId="ae">
    <w:name w:val="页脚 字符"/>
    <w:link w:val="ad"/>
    <w:uiPriority w:val="99"/>
    <w:rsid w:val="0036109D"/>
    <w:rPr>
      <w:kern w:val="2"/>
      <w:sz w:val="18"/>
      <w:szCs w:val="18"/>
    </w:rPr>
  </w:style>
  <w:style w:type="character" w:customStyle="1" w:styleId="34">
    <w:name w:val="样式3 字符"/>
    <w:basedOn w:val="ae"/>
    <w:link w:val="33"/>
    <w:rsid w:val="0036109D"/>
    <w:rPr>
      <w:kern w:val="2"/>
      <w:sz w:val="18"/>
      <w:szCs w:val="18"/>
    </w:rPr>
  </w:style>
  <w:style w:type="paragraph" w:customStyle="1" w:styleId="5">
    <w:name w:val="样式5"/>
    <w:basedOn w:val="4"/>
    <w:link w:val="50"/>
    <w:qFormat/>
    <w:rsid w:val="0074675F"/>
    <w:pPr>
      <w:spacing w:line="312" w:lineRule="auto"/>
    </w:pPr>
    <w:rPr>
      <w:rFonts w:ascii="仿宋_GB2312" w:eastAsia="仿宋_GB2312"/>
    </w:rPr>
  </w:style>
  <w:style w:type="character" w:customStyle="1" w:styleId="40">
    <w:name w:val="样式4 字符"/>
    <w:link w:val="4"/>
    <w:rsid w:val="0036109D"/>
    <w:rPr>
      <w:rFonts w:ascii="仿宋" w:eastAsia="仿宋" w:hAnsi="仿宋"/>
      <w:kern w:val="2"/>
      <w:sz w:val="30"/>
      <w:szCs w:val="30"/>
    </w:rPr>
  </w:style>
  <w:style w:type="paragraph" w:customStyle="1" w:styleId="6">
    <w:name w:val="样式6"/>
    <w:basedOn w:val="4"/>
    <w:link w:val="60"/>
    <w:qFormat/>
    <w:rsid w:val="0074675F"/>
    <w:pPr>
      <w:pBdr>
        <w:bottom w:val="none" w:sz="0" w:space="0" w:color="auto"/>
      </w:pBdr>
      <w:spacing w:line="312" w:lineRule="auto"/>
    </w:pPr>
    <w:rPr>
      <w:rFonts w:ascii="仿宋_GB2312" w:eastAsia="仿宋_GB2312"/>
    </w:rPr>
  </w:style>
  <w:style w:type="character" w:customStyle="1" w:styleId="50">
    <w:name w:val="样式5 字符"/>
    <w:link w:val="5"/>
    <w:rsid w:val="0074675F"/>
    <w:rPr>
      <w:rFonts w:ascii="仿宋_GB2312" w:eastAsia="仿宋_GB2312" w:hAnsi="仿宋"/>
      <w:kern w:val="2"/>
      <w:sz w:val="30"/>
      <w:szCs w:val="30"/>
    </w:rPr>
  </w:style>
  <w:style w:type="character" w:customStyle="1" w:styleId="aa">
    <w:name w:val="页眉 字符"/>
    <w:link w:val="a9"/>
    <w:uiPriority w:val="99"/>
    <w:rsid w:val="007764FA"/>
    <w:rPr>
      <w:kern w:val="2"/>
      <w:sz w:val="18"/>
      <w:szCs w:val="18"/>
    </w:rPr>
  </w:style>
  <w:style w:type="character" w:customStyle="1" w:styleId="60">
    <w:name w:val="样式6 字符"/>
    <w:link w:val="6"/>
    <w:rsid w:val="0074675F"/>
    <w:rPr>
      <w:rFonts w:ascii="仿宋_GB2312" w:eastAsia="仿宋_GB2312" w:hAnsi="仿宋"/>
      <w:kern w:val="2"/>
      <w:sz w:val="30"/>
      <w:szCs w:val="30"/>
    </w:rPr>
  </w:style>
  <w:style w:type="table" w:styleId="af2">
    <w:name w:val="Table Grid"/>
    <w:basedOn w:val="a1"/>
    <w:uiPriority w:val="39"/>
    <w:qFormat/>
    <w:rsid w:val="00B6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EC85-0479-4BB6-9198-29EEDD67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jczx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海测人116</dc:title>
  <dc:subject/>
  <dc:creator>卞</dc:creator>
  <cp:keywords/>
  <cp:lastModifiedBy>XIE PF</cp:lastModifiedBy>
  <cp:revision>3</cp:revision>
  <cp:lastPrinted>2022-05-16T01:10:00Z</cp:lastPrinted>
  <dcterms:created xsi:type="dcterms:W3CDTF">2022-05-16T07:19:00Z</dcterms:created>
  <dcterms:modified xsi:type="dcterms:W3CDTF">2022-05-16T07:19:00Z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